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CCF9" w14:textId="68C24D3B" w:rsidR="0035765A" w:rsidRPr="005339BD" w:rsidRDefault="00927CA5" w:rsidP="005C6D93">
      <w:pPr>
        <w:pStyle w:val="Nagwek2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339BD">
        <w:rPr>
          <w:rFonts w:ascii="Times New Roman" w:hAnsi="Times New Roman" w:cs="Times New Roman"/>
          <w:b/>
          <w:bCs/>
          <w:sz w:val="22"/>
          <w:szCs w:val="22"/>
        </w:rPr>
        <w:t xml:space="preserve">Protokół rozbieżności do </w:t>
      </w:r>
      <w:r w:rsidRPr="005339B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projektu ustawy o zmianie ustawy </w:t>
      </w:r>
      <w:r w:rsidR="00D21B3E">
        <w:rPr>
          <w:rFonts w:ascii="Times New Roman" w:hAnsi="Times New Roman" w:cs="Times New Roman"/>
          <w:b/>
          <w:bCs/>
          <w:i/>
          <w:iCs/>
          <w:sz w:val="22"/>
          <w:szCs w:val="22"/>
        </w:rPr>
        <w:t>o odnawialnych źródłach energii</w:t>
      </w:r>
      <w:r w:rsidRPr="005339B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oraz niektórych innych ustaw (UC</w:t>
      </w:r>
      <w:r w:rsidR="00D21B3E">
        <w:rPr>
          <w:rFonts w:ascii="Times New Roman" w:hAnsi="Times New Roman" w:cs="Times New Roman"/>
          <w:b/>
          <w:bCs/>
          <w:i/>
          <w:iCs/>
          <w:sz w:val="22"/>
          <w:szCs w:val="22"/>
        </w:rPr>
        <w:t>99</w:t>
      </w:r>
      <w:r w:rsidRPr="005339B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) </w:t>
      </w:r>
      <w:r w:rsidRPr="005339BD">
        <w:rPr>
          <w:rFonts w:ascii="Times New Roman" w:hAnsi="Times New Roman" w:cs="Times New Roman"/>
          <w:b/>
          <w:bCs/>
          <w:sz w:val="22"/>
          <w:szCs w:val="22"/>
        </w:rPr>
        <w:t>w zakresie uwag zgłoszonych na K</w:t>
      </w:r>
      <w:r w:rsidR="00D21B3E">
        <w:rPr>
          <w:rFonts w:ascii="Times New Roman" w:hAnsi="Times New Roman" w:cs="Times New Roman"/>
          <w:b/>
          <w:bCs/>
          <w:sz w:val="22"/>
          <w:szCs w:val="22"/>
        </w:rPr>
        <w:t>omitet Rady Ministrów do Spraw Cyfryzacji</w:t>
      </w:r>
      <w:r w:rsidR="005C6D9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367"/>
        <w:tblOverlap w:val="never"/>
        <w:tblW w:w="15021" w:type="dxa"/>
        <w:tblLook w:val="04A0" w:firstRow="1" w:lastRow="0" w:firstColumn="1" w:lastColumn="0" w:noHBand="0" w:noVBand="1"/>
      </w:tblPr>
      <w:tblGrid>
        <w:gridCol w:w="1849"/>
        <w:gridCol w:w="2115"/>
        <w:gridCol w:w="7404"/>
        <w:gridCol w:w="3653"/>
      </w:tblGrid>
      <w:tr w:rsidR="005E7032" w:rsidRPr="005339BD" w14:paraId="7E1D1E4B" w14:textId="77777777" w:rsidTr="00523361">
        <w:trPr>
          <w:trHeight w:val="585"/>
        </w:trPr>
        <w:tc>
          <w:tcPr>
            <w:tcW w:w="1849" w:type="dxa"/>
            <w:shd w:val="clear" w:color="auto" w:fill="C5E0B3" w:themeFill="accent6" w:themeFillTint="66"/>
            <w:vAlign w:val="center"/>
          </w:tcPr>
          <w:p w14:paraId="47236F52" w14:textId="77777777" w:rsidR="00A04515" w:rsidRPr="005339BD" w:rsidRDefault="00A04515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39BD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115" w:type="dxa"/>
            <w:shd w:val="clear" w:color="auto" w:fill="C5E0B3" w:themeFill="accent6" w:themeFillTint="66"/>
            <w:vAlign w:val="center"/>
          </w:tcPr>
          <w:p w14:paraId="35726519" w14:textId="7839D5A8" w:rsidR="00A04515" w:rsidRPr="005339BD" w:rsidRDefault="00FF3F51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39BD">
              <w:rPr>
                <w:rFonts w:ascii="Times New Roman" w:hAnsi="Times New Roman" w:cs="Times New Roman"/>
                <w:b/>
                <w:lang w:val="pl-PL"/>
              </w:rPr>
              <w:t>Jednostka redakcyjna</w:t>
            </w:r>
          </w:p>
        </w:tc>
        <w:tc>
          <w:tcPr>
            <w:tcW w:w="7404" w:type="dxa"/>
            <w:shd w:val="clear" w:color="auto" w:fill="C5E0B3" w:themeFill="accent6" w:themeFillTint="66"/>
            <w:vAlign w:val="center"/>
          </w:tcPr>
          <w:p w14:paraId="290AC3DF" w14:textId="77777777" w:rsidR="00A04515" w:rsidRPr="005339BD" w:rsidRDefault="00A04515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39BD">
              <w:rPr>
                <w:rFonts w:ascii="Times New Roman" w:hAnsi="Times New Roman" w:cs="Times New Roman"/>
                <w:b/>
                <w:lang w:val="pl-PL"/>
              </w:rPr>
              <w:t>Treść uwagi</w:t>
            </w:r>
          </w:p>
        </w:tc>
        <w:tc>
          <w:tcPr>
            <w:tcW w:w="3653" w:type="dxa"/>
            <w:shd w:val="clear" w:color="auto" w:fill="C5E0B3" w:themeFill="accent6" w:themeFillTint="66"/>
            <w:vAlign w:val="center"/>
          </w:tcPr>
          <w:p w14:paraId="1D09054D" w14:textId="11C3B8A2" w:rsidR="00A04515" w:rsidRPr="005339BD" w:rsidRDefault="00A04515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39BD">
              <w:rPr>
                <w:rFonts w:ascii="Times New Roman" w:hAnsi="Times New Roman" w:cs="Times New Roman"/>
                <w:b/>
                <w:lang w:val="pl-PL"/>
              </w:rPr>
              <w:t xml:space="preserve">Odniesienie </w:t>
            </w:r>
            <w:proofErr w:type="spellStart"/>
            <w:r w:rsidR="00FF3F51" w:rsidRPr="005339BD">
              <w:rPr>
                <w:rFonts w:ascii="Times New Roman" w:hAnsi="Times New Roman" w:cs="Times New Roman"/>
                <w:b/>
                <w:lang w:val="pl-PL"/>
              </w:rPr>
              <w:t>MKiŚ</w:t>
            </w:r>
            <w:proofErr w:type="spellEnd"/>
          </w:p>
        </w:tc>
      </w:tr>
      <w:tr w:rsidR="00FF3F51" w:rsidRPr="005339BD" w14:paraId="5DFC11FC" w14:textId="77777777" w:rsidTr="00523361">
        <w:trPr>
          <w:trHeight w:val="585"/>
        </w:trPr>
        <w:tc>
          <w:tcPr>
            <w:tcW w:w="15021" w:type="dxa"/>
            <w:gridSpan w:val="4"/>
            <w:shd w:val="clear" w:color="auto" w:fill="00B050"/>
            <w:vAlign w:val="center"/>
          </w:tcPr>
          <w:p w14:paraId="5FFBE7E4" w14:textId="6E2D2609" w:rsidR="00FF3F51" w:rsidRPr="005339BD" w:rsidRDefault="00FF3F51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339BD">
              <w:rPr>
                <w:rFonts w:ascii="Times New Roman" w:hAnsi="Times New Roman" w:cs="Times New Roman"/>
                <w:b/>
                <w:lang w:val="pl-PL"/>
              </w:rPr>
              <w:t xml:space="preserve">Minister </w:t>
            </w:r>
            <w:r w:rsidR="00D21B3E">
              <w:rPr>
                <w:rFonts w:ascii="Times New Roman" w:hAnsi="Times New Roman" w:cs="Times New Roman"/>
                <w:b/>
                <w:lang w:val="pl-PL"/>
              </w:rPr>
              <w:t>Finansów</w:t>
            </w:r>
          </w:p>
        </w:tc>
      </w:tr>
      <w:tr w:rsidR="005E7032" w:rsidRPr="005339BD" w14:paraId="5EC7C079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24422F74" w14:textId="67AE23B0" w:rsidR="007E3A73" w:rsidRPr="005339BD" w:rsidRDefault="00523361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 w:rsidRPr="005339BD">
              <w:rPr>
                <w:rFonts w:ascii="Times New Roman" w:hAnsi="Times New Roman" w:cs="Times New Roman"/>
                <w:bCs/>
                <w:lang w:val="pl-PL"/>
              </w:rPr>
              <w:t>1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A233DF9" w14:textId="7D1F74AD" w:rsidR="007E3A73" w:rsidRPr="005339BD" w:rsidRDefault="00AB798C" w:rsidP="00D21B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Art. 1 pkt 121 projektu ustawy w zakresie art. 184k ust 1 pkt 4 ustawy o odnawialnych źródłach energii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692F3420" w14:textId="0E8296D2" w:rsidR="0092095F" w:rsidRPr="0092095F" w:rsidRDefault="00952F43" w:rsidP="0092095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ascii="Times New Roman" w:hAnsi="Times New Roman" w:cs="Times New Roman"/>
                <w:bCs/>
                <w:lang w:val="pl-PL"/>
              </w:rPr>
              <w:t>P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rojektowana regulacja będzie w praktyce wyłączona ze stosowania, gdyż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pierwszeństwo będą miały w tym zakresie normy prawa zawarte w ustawie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o podatku akcyzowym. Na gruncie ustawy o podatku akcyzowym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opodatkowaniu akcyzą podlega sprzedaż energii elektrycznej przez zakład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energetyczny na rzecz np. członków klastra energii. Sprzedażą w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rozumieniu ustawy jest czynność faktyczna lub prawna, w wyniku której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dochodzi do przeniesienia posiadania lub własności przedmiotu sprzedaży</w:t>
            </w:r>
            <w:r w:rsidR="0092095F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92095F" w:rsidRPr="0092095F">
              <w:rPr>
                <w:rFonts w:ascii="Times New Roman" w:hAnsi="Times New Roman" w:cs="Times New Roman"/>
                <w:bCs/>
                <w:lang w:val="pl-PL"/>
              </w:rPr>
              <w:t>na inny podmiot.</w:t>
            </w:r>
          </w:p>
          <w:p w14:paraId="65BA8BBC" w14:textId="471CC20D" w:rsidR="0092095F" w:rsidRPr="0092095F" w:rsidRDefault="0092095F" w:rsidP="0092095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92095F">
              <w:rPr>
                <w:rFonts w:ascii="Times New Roman" w:hAnsi="Times New Roman" w:cs="Times New Roman"/>
                <w:bCs/>
                <w:lang w:val="pl-PL"/>
              </w:rPr>
              <w:t>Zasadą opodatkowania akcyzą energii elektrycznej jest powstanie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obowiązku podatkowego na etapie wydania/przekazania energii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ostatecznemu konsumentowi np. członkom klastra energii. Istotą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opodatkowania akcyzą energii elektrycznej jest bowiem objęcie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obowiązkiem uiszczenia podatku etapu jej wydania do konsumpcji.</w:t>
            </w:r>
          </w:p>
          <w:p w14:paraId="24389589" w14:textId="6A9A54CB" w:rsidR="0092095F" w:rsidRPr="0092095F" w:rsidRDefault="0092095F" w:rsidP="0092095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92095F">
              <w:rPr>
                <w:rFonts w:ascii="Times New Roman" w:hAnsi="Times New Roman" w:cs="Times New Roman"/>
                <w:bCs/>
                <w:lang w:val="pl-PL"/>
              </w:rPr>
              <w:t>Z kolei wydanie z sieci elektroenergetycznej np. członkom klastra energii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elektrycznej stanowi przeniesienie posiadania lub jej własności na rzecz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członka klastra energii, co wyczerpuje znamiona definicji sprzedaży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w rozumieniu art. 2 ust. 1 pkt 21 ustawy o podatku akcyzowym.</w:t>
            </w:r>
          </w:p>
          <w:p w14:paraId="2DF9DF51" w14:textId="77777777" w:rsidR="00FF3F51" w:rsidRDefault="0092095F" w:rsidP="0092095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92095F">
              <w:rPr>
                <w:rFonts w:ascii="Times New Roman" w:hAnsi="Times New Roman" w:cs="Times New Roman"/>
                <w:bCs/>
                <w:lang w:val="pl-PL"/>
              </w:rPr>
              <w:t>Zatem opodatkowaniu akcyzą w analizowanym przypadku podlega całość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energii elektrycznej pobranej z sieci elektroenergetycznej przez członka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klastra energii.</w:t>
            </w:r>
          </w:p>
          <w:p w14:paraId="550D4236" w14:textId="757D60F2" w:rsidR="0092095F" w:rsidRPr="0092095F" w:rsidRDefault="0092095F" w:rsidP="0092095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92095F">
              <w:rPr>
                <w:rFonts w:ascii="Times New Roman" w:hAnsi="Times New Roman" w:cs="Times New Roman"/>
                <w:bCs/>
                <w:lang w:val="pl-PL"/>
              </w:rPr>
              <w:t>Ministerstwo Finansów wnioskuje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o wykreślenie tej regulacji z projektu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92095F">
              <w:rPr>
                <w:rFonts w:ascii="Times New Roman" w:hAnsi="Times New Roman" w:cs="Times New Roman"/>
                <w:bCs/>
                <w:lang w:val="pl-PL"/>
              </w:rPr>
              <w:t>ustawy.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78B1F9C4" w14:textId="5C4816E7" w:rsidR="00962BBB" w:rsidRPr="0092095F" w:rsidRDefault="00523361" w:rsidP="005C6D93">
            <w:pPr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C641EC">
              <w:rPr>
                <w:rFonts w:ascii="Times New Roman" w:hAnsi="Times New Roman" w:cs="Times New Roman"/>
                <w:lang w:val="pl-PL"/>
              </w:rPr>
              <w:t xml:space="preserve">Uwaga </w:t>
            </w:r>
            <w:r w:rsidR="0092095F">
              <w:rPr>
                <w:rFonts w:ascii="Times New Roman" w:hAnsi="Times New Roman" w:cs="Times New Roman"/>
                <w:lang w:val="pl-PL"/>
              </w:rPr>
              <w:t>wykracza</w:t>
            </w:r>
            <w:r w:rsidRPr="00C641EC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2095F">
              <w:rPr>
                <w:rFonts w:ascii="Times New Roman" w:hAnsi="Times New Roman" w:cs="Times New Roman"/>
                <w:lang w:val="pl-PL"/>
              </w:rPr>
              <w:t>poza zakres przedmiotowy rozpatrywania KRMC</w:t>
            </w:r>
            <w:r w:rsidR="004858DA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5339BD">
              <w:rPr>
                <w:rFonts w:ascii="Times New Roman" w:hAnsi="Times New Roman" w:cs="Times New Roman"/>
                <w:lang w:val="pl-PL"/>
              </w:rPr>
              <w:t>podlega dalszej analizie</w:t>
            </w:r>
            <w:r w:rsidR="0092095F">
              <w:rPr>
                <w:rFonts w:ascii="Times New Roman" w:hAnsi="Times New Roman" w:cs="Times New Roman"/>
                <w:lang w:val="pl-PL"/>
              </w:rPr>
              <w:t>, zaś</w:t>
            </w:r>
            <w:r w:rsidRPr="005339BD">
              <w:rPr>
                <w:rFonts w:ascii="Times New Roman" w:hAnsi="Times New Roman" w:cs="Times New Roman"/>
                <w:lang w:val="pl-PL"/>
              </w:rPr>
              <w:t xml:space="preserve"> ostateczne stanowisko zostanie przedstawione na SKRM.</w:t>
            </w:r>
          </w:p>
        </w:tc>
      </w:tr>
      <w:tr w:rsidR="005E7032" w:rsidRPr="005339BD" w14:paraId="0AE1FDD0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7E6F47FA" w14:textId="648139A3" w:rsidR="007E3A73" w:rsidRPr="005339BD" w:rsidRDefault="00523361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 w:rsidRPr="005339BD">
              <w:rPr>
                <w:rFonts w:ascii="Times New Roman" w:hAnsi="Times New Roman" w:cs="Times New Roman"/>
                <w:bCs/>
                <w:lang w:val="pl-PL"/>
              </w:rPr>
              <w:t>2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AE662EF" w14:textId="77777777" w:rsidR="004C1A79" w:rsidRPr="005339BD" w:rsidRDefault="004C1A79" w:rsidP="005C6D9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lang w:val="pl-PL"/>
              </w:rPr>
            </w:pPr>
          </w:p>
          <w:p w14:paraId="0E293F1B" w14:textId="56EEFAF9" w:rsidR="007E3A73" w:rsidRPr="005339BD" w:rsidRDefault="00AB798C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AE77FF">
              <w:rPr>
                <w:rFonts w:ascii="Times New Roman" w:hAnsi="Times New Roman" w:cs="Times New Roman"/>
                <w:bCs/>
                <w:lang w:val="pl-PL"/>
              </w:rPr>
              <w:t xml:space="preserve">Art. </w:t>
            </w:r>
            <w:r>
              <w:rPr>
                <w:rFonts w:ascii="Times New Roman" w:hAnsi="Times New Roman" w:cs="Times New Roman"/>
                <w:bCs/>
                <w:lang w:val="pl-PL"/>
              </w:rPr>
              <w:t xml:space="preserve">6 projektu ustawy w zakresie art. 30 ust. 2a ustawy </w:t>
            </w:r>
            <w:r>
              <w:rPr>
                <w:rFonts w:ascii="Times New Roman" w:hAnsi="Times New Roman" w:cs="Times New Roman"/>
                <w:bCs/>
                <w:lang w:val="pl-PL"/>
              </w:rPr>
              <w:lastRenderedPageBreak/>
              <w:t>o podatku akcyzowym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2F588A6D" w14:textId="33F7481D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lastRenderedPageBreak/>
              <w:t>Propozycja zmierza w swej istocie do wprowadzenia zwolnienia od akcyzy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tej części energii elektrycznej dostarczanej prosumentom, odbiorcom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spółdzielni energetycznej, członkom klastra energii, która odpowiada ilości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energii </w:t>
            </w:r>
            <w:r w:rsidRPr="0083747B">
              <w:rPr>
                <w:rFonts w:ascii="Times New Roman" w:hAnsi="Times New Roman" w:cs="Times New Roman"/>
                <w:lang w:val="pl-PL"/>
              </w:rPr>
              <w:lastRenderedPageBreak/>
              <w:t>elektrycznej wprowadzonej uprzednio do sieci elektroenergetycznej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i wynikającej z rozliczenia w oparciu o właściwe dla tych podmiotów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regulacje OZE.</w:t>
            </w:r>
          </w:p>
          <w:p w14:paraId="653B2229" w14:textId="2DF14F9B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Na mocy art. 21 ust. 5 dyrektywy 2003/96/WE energia elektryczna podlega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akcyzie, która staje się wymagalna w momencie jej dostawy przez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dystrybutora lub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redystrybutora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>. Jednostka produkująca energię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elektryczną na swoje własne potrzeby jest uważana za dystrybutora.</w:t>
            </w:r>
          </w:p>
          <w:p w14:paraId="04D81E15" w14:textId="6FDF70A7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Państwa Członkowskie mogą zwalniać drobnych producentów energii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elektrycznej, pod warunkiem, że opodatkowują oni produkty energetyczne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wykorzystywane do produkcji tej energii elektrycznej.</w:t>
            </w:r>
          </w:p>
          <w:p w14:paraId="2B9ABF07" w14:textId="6012FF33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 xml:space="preserve">Art. 15 ust. 1 lit. b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tiret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 xml:space="preserve"> pierwsze dyrektywy 2003/96/WE określa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zwolnienie dla energii elektrycznej pochodzącej z wykorzystania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m.in. energii słonecznej oraz wiatrowej. Prawodawca unijny zakłada przy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tym, iż zwolnienie to mogą przyznawać państwa członkowskie bez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uszczerbku dla innych przepisów wspólnotowych pod kontrolą fiskalną.</w:t>
            </w:r>
          </w:p>
          <w:p w14:paraId="02610475" w14:textId="48AE9BC6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Z uwagi na powyższe, w krajowym porządku prawnym wydanie z sieci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elektroenergetycznej prosumentowi energii elektrycznej stanowi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przeniesienie posiadania lub jej własności na prosumenta, co wyczerpuje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znamiona definicji sprzedaży w rozumieniu art. 2 ust.1 pkt 21 ustawy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o podatku akcyzowym. Opodatkowaniu akcyzą podlega całość energii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elektrycznej, którą nabywca końcowy (prosument) pobrał z sieci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elektroenergetycznej na podstawie urządzeń pomiarowo-rozliczeniowych.</w:t>
            </w:r>
          </w:p>
          <w:p w14:paraId="142AB3A4" w14:textId="5A110F56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Jednocześnie obowiązuje zwolnienie od akcyzy energii elektrycznej z OZE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na podstawie art. 30 ustawy o podatku akcyzowym, poprzez obniżenie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należnej akcyzy po umorzeniu świadectwa pochodzenia energii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elektrycznej (duże podmioty) oraz na podstawie paragrafu 5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rozporządzenia w sprawie zwolnień od podatku akcyzowego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(małe podmioty - prosumenci). Definicję prosumenta zawiera ustawa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o OZE uznając za niego podmiot produkujący energię w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mikroinstalacji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07511E73" w14:textId="5E518147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Tę zaś ustawa o OZE definiuje jako instalację odnawialnego źródła energii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o łącznej mocy zainstalowanej elektrycznej nie większej niż 50 kW, a małą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lastRenderedPageBreak/>
              <w:t>instalację jako instalację odnawialnego źródła energii o łącznej mocy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zainstalowanej elektrycznej większej niż 50 kW i nie większej niż 1 MW.</w:t>
            </w:r>
          </w:p>
          <w:p w14:paraId="2EC964F9" w14:textId="13014D44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Niezależnie od powyższego MF zauważa, że art. 4 ust. 10 pkt 1, który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przywołuje projektowana regulacja w praktyce jest wyłączony ze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stosowania. Pośrednio wpływa bowiem na ulgi podatkowe w tym podatku.</w:t>
            </w:r>
          </w:p>
          <w:p w14:paraId="61360AB9" w14:textId="3487B000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Przepis ten został wprowadzony ustawą z dnia 29 października 2021 r.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o zmianie ustawy o odnawialnych źródłach energii oraz niektórych innych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ustaw (Dz. U. 2021 poz. 2376). Tymczasem wszelkie wyłączenia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 opodatkowania akcyzą muszę być regulowane w ustawie o podatku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akcyzowym, która ten podatek reguluje, lub w aktach wykonawczych do tej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ustawy. Ustawa o podatku akcyzowym w art. 4 wprost stanowi, że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„ulgi i zwolnienia podatkowe udzielone na podstawie odrębnych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przepisównie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 xml:space="preserve"> mają zastosowania do akcyzy”. Jest to zgodne z zasadą lex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specialis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derogat legi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generali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>, według której, norma bardziej szczegółowa (w tym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przypadku regulacje dotyczące podatku akcyzowego) ma pierwszeństwo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względem normy bardziej ogólnej (tu: przepisami ustawy o odnawialnych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źródłach energii, które nie regulują kwestii opodatkowania akcyzą).</w:t>
            </w:r>
          </w:p>
          <w:p w14:paraId="5DE30E40" w14:textId="4EF6CFC1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Natomiast propozycja wprowadzenia zwolnienia od akcyzy dla zużycia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energii elektrycznej dla własnych potrzeb przez członków spółdzielni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energetycznej oraz członków klastra energii (art. 38c ust. 13 pkt 3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oraz art. 184k ust. 1 pkt 4 ustawy o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oze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>) wymaga podjęcia dialogu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co do szczegółowych zasad na jakich dopuszczone jest funkcjonowanie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spółdzielni energetycznych i klastrów energii. Dopiero bowiem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po uzyskaniu wyczerpujących informacji w tym zakresie będzie możliwe</w:t>
            </w:r>
          </w:p>
          <w:p w14:paraId="160C2284" w14:textId="263F5F25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podjęcie działań zmierzających do ustalenia, czy proponowane regulacje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będą zgodne z obowiązującym unijnym i krajowym systemem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opodatkowania energii elektrycznej podatkiem akcyzowym, który również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musi uwzględniać zasady sformułowane w tym zakresie przez prawo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unijne.</w:t>
            </w:r>
          </w:p>
          <w:p w14:paraId="2D0D9B50" w14:textId="5FF96A41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MF wyjaśnia, że zwolnienie od akcyzy jest pochodną obowiązku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podatkowego. Stąd dla określenia zwolnienia dla energii elektrycznej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produkowanej i zużywanej przez podmioty jw. konieczne jest poznanie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obiegu energii elektrycznej produkowanej w ramach tych podmiotów,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przez ich członków, oraz schematu </w:t>
            </w:r>
            <w:r w:rsidRPr="0083747B">
              <w:rPr>
                <w:rFonts w:ascii="Times New Roman" w:hAnsi="Times New Roman" w:cs="Times New Roman"/>
                <w:lang w:val="pl-PL"/>
              </w:rPr>
              <w:lastRenderedPageBreak/>
              <w:t>wzajemnych rozliczeń między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podmiotami uczestniczącymi w obrocie tą energią. Z tego względu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wyjaśnienia w tym zakresie są dla nas bardzo ważne i niezbędne.</w:t>
            </w:r>
          </w:p>
          <w:p w14:paraId="0716F453" w14:textId="3C707C79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 xml:space="preserve">Ministerstwo Finansów wystąpiło do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MRiRW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 xml:space="preserve"> pismem z 7 października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2022 r., znak: DAG3.0723.16.2022, z prośbą o wyjaśnienie szczegółowych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zasad na jakich dopuszczone jest funkcjonowanie spółdzielni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energetycznych. Nadal oczekujemy na odpowiedź w tym zakresie.</w:t>
            </w:r>
          </w:p>
          <w:p w14:paraId="1BC5893C" w14:textId="77777777" w:rsid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Nadmienić również należy, iż ewentualne wprowadzenie zwolnienia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 powyższym zakresie, z uwagi na jego fakultatywny charakter, należy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rozważyć w akcie prawnym innym niż ustawa. Zwolnienie dla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postumentów obejmuje bowiem rozporządzenie w sprawie zwolnień od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podatku akcyzowego, a projektowane przypadki zwolnienia - art. 38c ust.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13 pkt 3 oraz art. 184k ust. 1 pkt 4 ustawy o </w:t>
            </w:r>
            <w:proofErr w:type="spellStart"/>
            <w:r w:rsidRPr="0083747B">
              <w:rPr>
                <w:rFonts w:ascii="Times New Roman" w:hAnsi="Times New Roman" w:cs="Times New Roman"/>
                <w:lang w:val="pl-PL"/>
              </w:rPr>
              <w:t>oze</w:t>
            </w:r>
            <w:proofErr w:type="spellEnd"/>
            <w:r w:rsidRPr="0083747B">
              <w:rPr>
                <w:rFonts w:ascii="Times New Roman" w:hAnsi="Times New Roman" w:cs="Times New Roman"/>
                <w:lang w:val="pl-PL"/>
              </w:rPr>
              <w:t xml:space="preserve"> – takiego zwolnienia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dotyczą.</w:t>
            </w:r>
          </w:p>
          <w:p w14:paraId="5F6696E5" w14:textId="797ABD6F" w:rsidR="0083747B" w:rsidRPr="005339BD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Ministerstwo Finansów wnioskuje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o wykreślenie tej regulacji z projektu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ustawy.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7DB7AFD8" w14:textId="32D37D3F" w:rsidR="00AD10B6" w:rsidRPr="005339BD" w:rsidRDefault="0083747B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83747B">
              <w:rPr>
                <w:rFonts w:ascii="Times New Roman" w:hAnsi="Times New Roman" w:cs="Times New Roman"/>
                <w:bCs/>
                <w:lang w:val="pl-PL"/>
              </w:rPr>
              <w:lastRenderedPageBreak/>
              <w:t xml:space="preserve">Uwaga wykracza poza zakres przedmiotowy rozpatrywania przez KRMC, podlega dalszej analizie, zaś </w:t>
            </w:r>
            <w:r w:rsidRPr="0083747B">
              <w:rPr>
                <w:rFonts w:ascii="Times New Roman" w:hAnsi="Times New Roman" w:cs="Times New Roman"/>
                <w:bCs/>
                <w:lang w:val="pl-PL"/>
              </w:rPr>
              <w:lastRenderedPageBreak/>
              <w:t>ostateczne stanowisko zostanie przedstawione na SKRM</w:t>
            </w:r>
            <w:r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83747B" w:rsidRPr="005339BD" w14:paraId="21607F8A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30AD50BA" w14:textId="0E098549" w:rsidR="0083747B" w:rsidRPr="005339BD" w:rsidRDefault="0083747B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3FEB09D" w14:textId="279BE861" w:rsidR="0083747B" w:rsidRPr="005339BD" w:rsidRDefault="0083747B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30191FBB" w14:textId="77777777" w:rsid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Wydatki związane z dodatkowymi etatami w URE oraz Ministerstwie</w:t>
            </w:r>
            <w:r w:rsidRPr="0083747B">
              <w:rPr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Klimatu i Środowiska powinny być sfinansowane w ramach limitu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wydatków odpowiednio cz. 50 oraz 51. Zgodnie ze sprawozdaniem Rb-70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za II kw. 2022 r. zatrudnienie w Ministerstwie Klimatu i Środowiska w dz.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750 jest niższe od planowanego o 67 etatów. W cz. 50 – URE zatrudnienie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jest także niższe od planowanego o 30 etatów.</w:t>
            </w:r>
          </w:p>
          <w:p w14:paraId="5CCA1D9F" w14:textId="0CCAC738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 xml:space="preserve">Ministerstwo Finansów wnioskuje </w:t>
            </w:r>
            <w:r>
              <w:rPr>
                <w:rFonts w:ascii="Times New Roman" w:hAnsi="Times New Roman" w:cs="Times New Roman"/>
                <w:lang w:val="pl-PL"/>
              </w:rPr>
              <w:t>o k</w:t>
            </w:r>
            <w:r w:rsidRPr="0083747B">
              <w:rPr>
                <w:rFonts w:ascii="Times New Roman" w:hAnsi="Times New Roman" w:cs="Times New Roman"/>
                <w:lang w:val="pl-PL"/>
              </w:rPr>
              <w:t>orekt</w:t>
            </w:r>
            <w:r>
              <w:rPr>
                <w:rFonts w:ascii="Times New Roman" w:hAnsi="Times New Roman" w:cs="Times New Roman"/>
                <w:lang w:val="pl-PL"/>
              </w:rPr>
              <w:t>ę</w:t>
            </w:r>
            <w:r w:rsidRPr="0083747B">
              <w:rPr>
                <w:rFonts w:ascii="Times New Roman" w:hAnsi="Times New Roman" w:cs="Times New Roman"/>
                <w:lang w:val="pl-PL"/>
              </w:rPr>
              <w:t xml:space="preserve"> OSR we wskazanym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zakresie.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50DF4B81" w14:textId="3950E628" w:rsidR="0083747B" w:rsidRPr="0083747B" w:rsidRDefault="0083747B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83747B">
              <w:rPr>
                <w:rFonts w:ascii="Times New Roman" w:hAnsi="Times New Roman" w:cs="Times New Roman"/>
                <w:bCs/>
                <w:lang w:val="pl-PL"/>
              </w:rPr>
              <w:t>Uwaga wykracza poza zakres przedmiotowy rozpatrywania przez KRMC, podlega dalszej analizie, zaś ostateczne stanowisko zostanie przedstawione na SKRM.</w:t>
            </w:r>
          </w:p>
        </w:tc>
      </w:tr>
      <w:tr w:rsidR="0083747B" w:rsidRPr="005339BD" w14:paraId="1D53AA71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7857B052" w14:textId="4CFB1C78" w:rsidR="0083747B" w:rsidRDefault="0083747B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714295B" w14:textId="6D1FCB20" w:rsidR="0083747B" w:rsidRDefault="0083747B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2F5AF996" w14:textId="77777777" w:rsid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>Niezrozumiały jest bardzo wysoki wzrost wydatków przeznaczonych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na realizację zadań wynikających z przedłożonego projektu pomiędzy jego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wersją z lutego 2022 roku, a wersją z grudnia 2022 roku (w wersji z lutego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2022 roku 10 letni koszt dla budżetu państwa wejścia w życie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projektowanych przepisów oszacowano na kwotę 24,77 mln zł a w wersji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 grudnia 2022 roku na kwotę 61,53 mln zł). Projektodawca nie przedstawił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przyczyny tak znacznego wzrostu wydatków na realizację zadań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w aktualnie przedłożonym projekcie w stosunku do poprzedniej wersji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(wzrost o przeszło 36,76 mln zł).</w:t>
            </w:r>
          </w:p>
          <w:p w14:paraId="3B8373BB" w14:textId="36CB0FCC" w:rsidR="0083747B" w:rsidRPr="0083747B" w:rsidRDefault="0083747B" w:rsidP="0083747B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83747B">
              <w:rPr>
                <w:rFonts w:ascii="Times New Roman" w:hAnsi="Times New Roman" w:cs="Times New Roman"/>
                <w:lang w:val="pl-PL"/>
              </w:rPr>
              <w:t xml:space="preserve">Ministerstwo Finansów wnioskuje o </w:t>
            </w:r>
            <w:r>
              <w:rPr>
                <w:rFonts w:ascii="Times New Roman" w:hAnsi="Times New Roman" w:cs="Times New Roman"/>
                <w:lang w:val="pl-PL"/>
              </w:rPr>
              <w:t>p</w:t>
            </w:r>
            <w:r w:rsidRPr="0083747B">
              <w:rPr>
                <w:rFonts w:ascii="Times New Roman" w:hAnsi="Times New Roman" w:cs="Times New Roman"/>
                <w:lang w:val="pl-PL"/>
              </w:rPr>
              <w:t>rzekazanie wyjaśnień przez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projektodawcę we wskazanym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83747B">
              <w:rPr>
                <w:rFonts w:ascii="Times New Roman" w:hAnsi="Times New Roman" w:cs="Times New Roman"/>
                <w:lang w:val="pl-PL"/>
              </w:rPr>
              <w:t>zakresie.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3CFBA773" w14:textId="7EF70423" w:rsidR="0083747B" w:rsidRPr="0083747B" w:rsidRDefault="0083747B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83747B">
              <w:rPr>
                <w:rFonts w:ascii="Times New Roman" w:hAnsi="Times New Roman" w:cs="Times New Roman"/>
                <w:bCs/>
                <w:lang w:val="pl-PL"/>
              </w:rPr>
              <w:t>Uwaga wykracza poza zakres przedmiotowy rozpatrywania przez KRMC, podlega dalszej analizie, zaś ostateczne stanowisko zostanie przedstawione na SKRM.</w:t>
            </w:r>
          </w:p>
        </w:tc>
      </w:tr>
      <w:tr w:rsidR="00783ECD" w:rsidRPr="005339BD" w14:paraId="53317567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384E41A0" w14:textId="2B71C0F8" w:rsidR="00783ECD" w:rsidRDefault="00783ECD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2D3875C3" w14:textId="48D8E5BF" w:rsidR="00783ECD" w:rsidRDefault="00783ECD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27C799AB" w14:textId="77777777" w:rsid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Wyjaśnienia wymaga również informacja zamieszczona w OSR w pozycji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„Źródła finansowania” mówiąca, że planowane koszty pokrywane będą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m.in. z części 83 – Rezerwy celowe (dysponent KPRM). Ministerstwo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Finansów wnioskuje o wyjaśnienie, którą rezerwę celową ma na myśli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projektodawca.</w:t>
            </w:r>
          </w:p>
          <w:p w14:paraId="6A0A7D20" w14:textId="2EBD1232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Ministerstwo Finansów wnioskuje o przekazanie wyjaśnień przez projektodawcę we wskazanym zakresie.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2F6F12D0" w14:textId="158E5D5F" w:rsidR="00783ECD" w:rsidRPr="00783ECD" w:rsidRDefault="00783ECD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783ECD">
              <w:rPr>
                <w:rFonts w:ascii="Times New Roman" w:hAnsi="Times New Roman" w:cs="Times New Roman"/>
                <w:bCs/>
                <w:lang w:val="pl-PL"/>
              </w:rPr>
              <w:t>Uwaga wykracza poza zakres przedmiotowy rozpatrywania przez KRMC, podlega dalszej analizie, zaś ostateczne stanowisko zostanie przedstawione na SKRM.</w:t>
            </w:r>
          </w:p>
        </w:tc>
      </w:tr>
      <w:tr w:rsidR="00783ECD" w:rsidRPr="005339BD" w14:paraId="41EC9D9F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755B2FCB" w14:textId="2D67BB66" w:rsidR="00783ECD" w:rsidRDefault="00783ECD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645750F" w14:textId="4BDE29A9" w:rsidR="00783ECD" w:rsidRDefault="00783ECD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1EEC2B2F" w14:textId="77777777" w:rsid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Do wyliczenia kosztów wynikających z uruchomienia nowych etatów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 xml:space="preserve">w ramach </w:t>
            </w:r>
            <w:proofErr w:type="spellStart"/>
            <w:r w:rsidRPr="00783ECD">
              <w:rPr>
                <w:rFonts w:ascii="Times New Roman" w:hAnsi="Times New Roman" w:cs="Times New Roman"/>
                <w:lang w:val="pl-PL"/>
              </w:rPr>
              <w:t>MKiŚ</w:t>
            </w:r>
            <w:proofErr w:type="spellEnd"/>
            <w:r w:rsidRPr="00783ECD">
              <w:rPr>
                <w:rFonts w:ascii="Times New Roman" w:hAnsi="Times New Roman" w:cs="Times New Roman"/>
                <w:lang w:val="pl-PL"/>
              </w:rPr>
              <w:t xml:space="preserve"> przyjęto dane wykazywane w sprawozdaniu Rb-70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za II kw. 2021 r. o zatrudnieniu i wynagrodzeniach. Podstawą do wyliczeń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była kwota 9.778,93 zł brutto średnio na etat bez względu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na zaszeregowanie czy funkcję, podczas gdy do wyliczenia etatów w URE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przyjęto stałą kwotę w wysokości 14.500 zł na etat podczas gdy średnia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z Rb-70 za II kw. 2022 to kwota 8.319,86 zł na etat. Wyjaśnienia wymaga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z jakiego powodu przyjęto znacznie wyższą kwotę wynagrodzeń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do obliczeń zamiast zastosować jednolity schemat wyliczeń.</w:t>
            </w:r>
          </w:p>
          <w:p w14:paraId="71A89318" w14:textId="64728B22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Ministerstwo Finansów wnioskuje o przekazanie wyjaśnień przez projektodawcę we wskazanym zakresie.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6B1FE6F8" w14:textId="2746691A" w:rsidR="00783ECD" w:rsidRPr="00783ECD" w:rsidRDefault="00783ECD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783ECD">
              <w:rPr>
                <w:rFonts w:ascii="Times New Roman" w:hAnsi="Times New Roman" w:cs="Times New Roman"/>
                <w:bCs/>
                <w:lang w:val="pl-PL"/>
              </w:rPr>
              <w:t>Uwaga wykracza poza zakres przedmiotowy rozpatrywania przez KRMC, podlega dalszej analizie, zaś ostateczne stanowisko zostanie przedstawione na SKRM.</w:t>
            </w:r>
          </w:p>
        </w:tc>
      </w:tr>
      <w:tr w:rsidR="00783ECD" w:rsidRPr="005339BD" w14:paraId="77D30465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1B71F9CA" w14:textId="755C9BB0" w:rsidR="00783ECD" w:rsidRDefault="00783ECD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E886949" w14:textId="52FB6CE3" w:rsidR="00783ECD" w:rsidRDefault="00783ECD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05256722" w14:textId="77777777" w:rsid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W OSR do projektu, w „Dodatkowych informacjach, w tym wskazanie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źródeł danych i przyjętych do obliczeń założeń”, należy poprawić liczbę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osób planowanych do przyjęcia w obszarze ciepłownictwo i chłodnictwa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(tabela 8) słownie napisano „dwudziestu osób” natomiast w nawiasie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wpisano 6 nowych pracowników.</w:t>
            </w:r>
          </w:p>
          <w:p w14:paraId="523C0A7B" w14:textId="50371CAC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Ministerstwo Finansów wnioskuje o korektę OSR we wskazanym zakresie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646AFF5A" w14:textId="6AFAD759" w:rsidR="00783ECD" w:rsidRPr="00783ECD" w:rsidRDefault="00783ECD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783ECD">
              <w:rPr>
                <w:rFonts w:ascii="Times New Roman" w:hAnsi="Times New Roman" w:cs="Times New Roman"/>
                <w:bCs/>
                <w:lang w:val="pl-PL"/>
              </w:rPr>
              <w:t>Uwaga wykracza poza zakres przedmiotowy rozpatrywania przez KRMC, podlega dalszej analizie, zaś ostateczne stanowisko zostanie przedstawione na SKRM.</w:t>
            </w:r>
          </w:p>
        </w:tc>
      </w:tr>
      <w:tr w:rsidR="00783ECD" w:rsidRPr="005339BD" w14:paraId="5564313B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3F324B13" w14:textId="7FC191FA" w:rsidR="00783ECD" w:rsidRDefault="00783ECD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776E4C8" w14:textId="3EB6A82A" w:rsidR="00783ECD" w:rsidRDefault="00783ECD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587C1497" w14:textId="77777777" w:rsid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W treści OSR do projektowanej ustawy należy skorygować dane dotyczące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zatrudniania nowych osób zarówno dla cz. 50 – URE jak i dla cz. 51- Klimat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nadal funkcjonuje tam rok 2023 jako początek zatrudniania nowych osób,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podczas gdy maksymalny limit wynikający z projektowanej przewiduje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wydatki dla budżetu państwa od 2024 roku.</w:t>
            </w:r>
          </w:p>
          <w:p w14:paraId="77338E11" w14:textId="7A1EE2B2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Ministerstwo Finansów wnioskuje o korektę OSR we wskazanym zakresie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0FDE11F9" w14:textId="66DD497C" w:rsidR="00783ECD" w:rsidRPr="00783ECD" w:rsidRDefault="00783ECD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783ECD">
              <w:rPr>
                <w:rFonts w:ascii="Times New Roman" w:hAnsi="Times New Roman" w:cs="Times New Roman"/>
                <w:bCs/>
                <w:lang w:val="pl-PL"/>
              </w:rPr>
              <w:t>Uwaga wykracza poza zakres przedmiotowy rozpatrywania przez KRMC, podlega dalszej analizie, zaś ostateczne stanowisko zostanie przedstawione na SKRM.</w:t>
            </w:r>
          </w:p>
        </w:tc>
      </w:tr>
      <w:tr w:rsidR="00783ECD" w:rsidRPr="005339BD" w14:paraId="0633F177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313C8E56" w14:textId="11C31C27" w:rsidR="00783ECD" w:rsidRDefault="00783ECD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B2D528E" w14:textId="13C40194" w:rsidR="00783ECD" w:rsidRDefault="00783ECD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13C526E8" w14:textId="469ADF1A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Kwoty wynagrodzeń nie powinny podlegać waloryzowaniu wskaźnikiem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CPI ponieważ wynagrodzenia w państwowej sferze budżetowej są ustalane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 xml:space="preserve">w trybie </w:t>
            </w:r>
            <w:r w:rsidRPr="00783ECD">
              <w:rPr>
                <w:rFonts w:ascii="Times New Roman" w:hAnsi="Times New Roman" w:cs="Times New Roman"/>
                <w:lang w:val="pl-PL"/>
              </w:rPr>
              <w:lastRenderedPageBreak/>
              <w:t>odrębnym przez Radę Ministrów. Zatem wynagrodzenia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po uwzględnieniu dodatkowego wynagrodzenia rocznego winny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pozostawać na niezmienionym poziomie (w wynagrodzeniach dotyczącym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URE w projekcie zaprezentowano wzrost wynagrodzeń r/r na poziomie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103% nie licząc roku w którym doliczono dodatkowe wynagrodzenie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roczne).</w:t>
            </w:r>
          </w:p>
          <w:p w14:paraId="13F43B9B" w14:textId="77777777" w:rsid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Jednocześnie należy podkreślić, że Minister Finansów wydał „Wytyczne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dotyczące stosowania jednolitych wskaźników makroekonomicznych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będących podstawą oszacowania skutków finansowych projektowanych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ustaw” Aktualizacja – październik 2022 r. w których CPI dla lat 2025 oraz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2026 wynosi odpowiednio 103,1 oraz 102,5 a na kolejne lata (2027-2060)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jest to kwota stała 102,5% zatem wyliczenie zastosowane w projekcie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należy skorygować (w zakresie URE wskaźnik CPI wynosi średnio 103%).</w:t>
            </w:r>
          </w:p>
          <w:p w14:paraId="14C4FF36" w14:textId="26B7219B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Ministerstwo Finansów wnioskuje o korektę OSR we wskazanym zakresie.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647F6433" w14:textId="57E67B53" w:rsidR="00783ECD" w:rsidRPr="00783ECD" w:rsidRDefault="00783ECD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783ECD">
              <w:rPr>
                <w:rFonts w:ascii="Times New Roman" w:hAnsi="Times New Roman" w:cs="Times New Roman"/>
                <w:bCs/>
                <w:lang w:val="pl-PL"/>
              </w:rPr>
              <w:lastRenderedPageBreak/>
              <w:t xml:space="preserve">Uwaga wykracza poza zakres przedmiotowy rozpatrywania przez </w:t>
            </w:r>
            <w:r w:rsidRPr="00783ECD">
              <w:rPr>
                <w:rFonts w:ascii="Times New Roman" w:hAnsi="Times New Roman" w:cs="Times New Roman"/>
                <w:bCs/>
                <w:lang w:val="pl-PL"/>
              </w:rPr>
              <w:lastRenderedPageBreak/>
              <w:t>KRMC, podlega dalszej analizie, zaś ostateczne stanowisko zostanie przedstawione na SKRM.</w:t>
            </w:r>
          </w:p>
        </w:tc>
      </w:tr>
      <w:tr w:rsidR="00783ECD" w:rsidRPr="005339BD" w14:paraId="2B64981F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5407725A" w14:textId="44E9CF9A" w:rsidR="00783ECD" w:rsidRDefault="00783ECD" w:rsidP="008374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CBAC721" w14:textId="188170CC" w:rsidR="00783ECD" w:rsidRDefault="00783ECD" w:rsidP="00837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OSR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16F6BB94" w14:textId="59D502DC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Proponuje się rozważyć dokonanie zmiany w pkt 4 OSR poprzez wskazanie,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wśród podmiotów, na które oddziałuje projektowana regulacja, jednostek</w:t>
            </w:r>
            <w:r>
              <w:rPr>
                <w:rFonts w:ascii="Times New Roman" w:hAnsi="Times New Roman" w:cs="Times New Roman"/>
                <w:lang w:val="pl-PL"/>
              </w:rPr>
              <w:t xml:space="preserve"> s</w:t>
            </w:r>
            <w:r w:rsidRPr="00783ECD">
              <w:rPr>
                <w:rFonts w:ascii="Times New Roman" w:hAnsi="Times New Roman" w:cs="Times New Roman"/>
                <w:lang w:val="pl-PL"/>
              </w:rPr>
              <w:t>amorządu terytorialnego: gmin, powiatów zamiast wójtów, burmistrzów,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prezydentów miast, starostów.</w:t>
            </w:r>
          </w:p>
          <w:p w14:paraId="4EC4E8EE" w14:textId="3B79F4C5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W projektowanej definicji klastra energii wprowadzono wymóg, aby stroną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porozumienia była przynajmniej jedna jednostka samorządu terytorialnego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lub spółka kapitałowa utworzona (na podstawie art. 9 ust. 1 ustawy z dnia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20 grudnia 1996 r. o gospodarce komunalnej (Dz. U. z 2021 r. poz. 679)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przez jednostkę samorządu terytorialnego, lub spółka kapitałowa, której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udział w kapitale zakładowym spółki jednostki samorządu terytorialnego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jest większy niż 50% lub przekracza 50% liczby udziałów lub akcji.</w:t>
            </w:r>
          </w:p>
          <w:p w14:paraId="62ADF18E" w14:textId="01DD365C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W pkt 4 OSR, jako sposób odziaływania, wskazano udział samorządu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lokalnego lub spółek samorządowych w klastrach. Wydaje się więc,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że projekt ustawy będzie oddziaływał w szerszym zakresie na jednostki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samorządu terytorialnego, a nie tylko na ich organy wykonawcze,</w:t>
            </w:r>
            <w:r w:rsidRPr="00783ECD">
              <w:rPr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w zakresie współpracy z KPK OZE w związku z udzielaniem ogólnych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informacji o postępowaniach dotyczących decyzji o środowiskowych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uwarunkowaniach oraz decyzji o warunkach zabudowy.</w:t>
            </w:r>
          </w:p>
          <w:p w14:paraId="395EE852" w14:textId="77777777" w:rsid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lastRenderedPageBreak/>
              <w:t>Ponadto, w OSR brak jest jakichkolwiek szacunków w odniesieniu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do skutków dla samorządów, zarówno po stronie dochodów jak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83ECD">
              <w:rPr>
                <w:rFonts w:ascii="Times New Roman" w:hAnsi="Times New Roman" w:cs="Times New Roman"/>
                <w:lang w:val="pl-PL"/>
              </w:rPr>
              <w:t>i ewentualnych wydatków.</w:t>
            </w:r>
          </w:p>
          <w:p w14:paraId="64760E0F" w14:textId="3CC72415" w:rsidR="00783ECD" w:rsidRPr="00783ECD" w:rsidRDefault="00783ECD" w:rsidP="00783EC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783ECD">
              <w:rPr>
                <w:rFonts w:ascii="Times New Roman" w:hAnsi="Times New Roman" w:cs="Times New Roman"/>
                <w:lang w:val="pl-PL"/>
              </w:rPr>
              <w:t>Ministerstwo Finansów wnioskuje o korektę OSR we wskazanym zakresie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200643D2" w14:textId="7127780B" w:rsidR="00783ECD" w:rsidRPr="00783ECD" w:rsidRDefault="00783ECD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783ECD">
              <w:rPr>
                <w:rFonts w:ascii="Times New Roman" w:hAnsi="Times New Roman" w:cs="Times New Roman"/>
                <w:bCs/>
                <w:lang w:val="pl-PL"/>
              </w:rPr>
              <w:lastRenderedPageBreak/>
              <w:t>Uwaga wykracza poza zakres przedmiotowy rozpatrywania przez KRMC, podlega dalszej analizie, zaś ostateczne stanowisko zostanie przedstawione na SKRM.</w:t>
            </w:r>
          </w:p>
        </w:tc>
      </w:tr>
      <w:tr w:rsidR="006C149D" w:rsidRPr="005339BD" w14:paraId="29B2DD50" w14:textId="77777777" w:rsidTr="00523361">
        <w:trPr>
          <w:trHeight w:val="585"/>
        </w:trPr>
        <w:tc>
          <w:tcPr>
            <w:tcW w:w="15021" w:type="dxa"/>
            <w:gridSpan w:val="4"/>
            <w:shd w:val="clear" w:color="auto" w:fill="00B050"/>
            <w:vAlign w:val="center"/>
          </w:tcPr>
          <w:p w14:paraId="30C2513A" w14:textId="00657CEF" w:rsidR="006C149D" w:rsidRPr="005339BD" w:rsidRDefault="006C149D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5339BD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Minister </w:t>
            </w:r>
            <w:r w:rsidR="00783ECD">
              <w:rPr>
                <w:rFonts w:ascii="Times New Roman" w:hAnsi="Times New Roman" w:cs="Times New Roman"/>
                <w:b/>
                <w:bCs/>
                <w:lang w:val="pl-PL"/>
              </w:rPr>
              <w:t>Spraw Wewnętrznych i Administracji</w:t>
            </w:r>
            <w:r w:rsidR="00F350B5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(KG PSP)</w:t>
            </w:r>
          </w:p>
        </w:tc>
      </w:tr>
      <w:tr w:rsidR="005E7032" w:rsidRPr="005339BD" w14:paraId="29A9CBED" w14:textId="77777777" w:rsidTr="00523361">
        <w:trPr>
          <w:trHeight w:val="585"/>
        </w:trPr>
        <w:tc>
          <w:tcPr>
            <w:tcW w:w="1849" w:type="dxa"/>
            <w:shd w:val="clear" w:color="auto" w:fill="auto"/>
            <w:vAlign w:val="center"/>
          </w:tcPr>
          <w:p w14:paraId="4DE1053A" w14:textId="70B15263" w:rsidR="0038660A" w:rsidRPr="005339BD" w:rsidRDefault="00783ECD" w:rsidP="00430A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ascii="Times New Roman" w:hAnsi="Times New Roman" w:cs="Times New Roman"/>
                <w:bCs/>
                <w:lang w:val="pl-PL"/>
              </w:rPr>
              <w:t>11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C9260A1" w14:textId="1F08571F" w:rsidR="0038660A" w:rsidRPr="005339BD" w:rsidRDefault="00F350B5" w:rsidP="00F350B5">
            <w:pPr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Art. 2 pkt 2 projektu (dot. art. 29 w ust. 4 w pkt 3 lit. c ustawy Prawo budowlane)</w:t>
            </w:r>
          </w:p>
        </w:tc>
        <w:tc>
          <w:tcPr>
            <w:tcW w:w="7404" w:type="dxa"/>
            <w:shd w:val="clear" w:color="auto" w:fill="auto"/>
            <w:vAlign w:val="center"/>
          </w:tcPr>
          <w:p w14:paraId="6D9085A1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Proponowana jest zmiana polegająca na wprowadzeniu wymagań kwalifikacyjnych dla osób opracowujących projekty urządzeń fotowoltaicznych o mocy zainstalowanej elektrycznej większej niż 6,5 kW w celu zapewnienia odpowiedniej jakości dokumentacji projektowej tych urządzeń, a poprzez to właściwych rozwiązań technicznych i odpowiedniego poziomu bezpieczeństwa pożarowego. Urządzenia w ramach których wykonywane są instalacje elektryczne, z natury stwarzają zagrożenie pożarowe, które powinno być fachowo eliminowane lub ograniczane już na etapie projektowania.</w:t>
            </w:r>
          </w:p>
          <w:p w14:paraId="5C6369F9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Zgłoszenie przedmiotowej uwagi na obecnym etapie opiniowania projektu wynika z faktu, że zasadność sporządzania dokumentacji projektowej urządzeń fotowoltaicznych przez odpowiednio wykwalifikowane osoby pełniące samodzielne funkcje techniczne w budownictwie zidentyfikowano w okresie po opiniowaniu projektu na wcześniejszym etapie.</w:t>
            </w:r>
          </w:p>
          <w:p w14:paraId="6CE5524A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Potrzeby w tym zakresie zgłaszali m.in. na szkoleniach rzeczoznawcy do spraw zabezpieczeń przeciwpożarowych uzgadniający przedmiotową dokumentację pod względem ochrony przeciwpożarowej. Problemy związane z brakiem wymagań wobec osób sporządzających dokumentację projektową instalacji fotowoltaicznych o mocy zainstalowanej elektrycznej większej niż 6,5 kW artykułowane były również na konferencjach i seminariach dotyczących omawianej problematyki.</w:t>
            </w:r>
          </w:p>
          <w:p w14:paraId="3492E31C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 xml:space="preserve">Uwaga ma szczególnie znaczenie w kontekście braku przepisów techniczno-budowlanych określających warunki techniczne, jakim powinny odpowiadać instalacje elektryczne z urządzeniami fotowoltaicznymi, i zagrożeń pożarowych związanych z instalowaniem tych urządzeń.  Urządzenia fotowoltaiczne stanowią potencjalne źródło pożaru, są trudne do ugaszenia z uwagi na ograniczone możliwości skutecznego podania środków gaśniczych, a także stwarzają </w:t>
            </w:r>
            <w:r w:rsidRPr="00F350B5">
              <w:rPr>
                <w:rFonts w:ascii="Times New Roman" w:hAnsi="Times New Roman" w:cs="Times New Roman"/>
                <w:lang w:val="pl-PL"/>
              </w:rPr>
              <w:lastRenderedPageBreak/>
              <w:t>zagrożenie porażeniem prądem elektrycznym strażaków prowadzących działania gaśnicze.</w:t>
            </w:r>
          </w:p>
          <w:p w14:paraId="021F7754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Zaproponowane brzmienie przepisu wydaje się być rozwiązaniem umożliwiającym złagodzenie wymagań administracyjnych (proceduralnych), przy uwzględnieniu potrzeby sporządzenia dla omawianych urządzeń odpowiedniej pod względem jakościowym dokumentacji projektowej.</w:t>
            </w:r>
          </w:p>
          <w:p w14:paraId="0C316FF1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Jakość tej dokumentacji powinna przełożyć się na jakość i bezpieczeństwo samego urządzenia, a to z kolei jest jednym z warunków koniecznych do ograniczania liczby pożarów tych urządzeń oraz zapewnienia odpowiednich warunków bezpieczeństwa pożarowego w miejscach, w których będą one zastosowane.</w:t>
            </w:r>
          </w:p>
          <w:p w14:paraId="5FA01A49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 xml:space="preserve">Jednocześnie podchodząc kompleksowo do zmiany wskazanej jednostki redakcyjnej doprecyzowano charakter zawiadomienia o zakończeniu instalowania urządzeń fotowoltaicznych i rozpoczęciu ich użytkowania, wskazując jednoznacznie sposób dokonywania tego zawiadomienia. Proponowana zmiana brzmienia przepisu w tym zakresie nie zmienia ratio legis dotychczasowego obowiązku, którego celem jest przekazanie Państwowej Straży Pożarnej informacji niezbędnych do planowania i prowadzenia działań ratowniczych w obiektach lub na terenach z urządzeniami fotowoltaicznymi oraz realizacji zadań w obszarze nadzoru nad przestrzeganiem przepisów przeciwpożarowych. Zaproponowany plan urządzenia fotowoltaicznego dla ekip ratowniczych jest weryfikowany przez rzeczoznawcę do spraw zabezpieczeń przeciwpożarowych w toku uzgodnienia projektu urządzenia fotowoltaicznego pod względem zgodności z wymaganiami ochrony przeciwpożarowej i określa w sposób schematyczny zasadnicze elementy instalacji istotne w kontekście bezpieczeństwa pożarowego, w szczególności warunków prowadzenia działań ratowniczo-gaśniczych. Plany te są powszechnie stosowane w kraju i zagranicą. Przykłady planu określają m.in. wytyczne CNBOP-PIB (zob. https://www.cnbop.pl/wydawnictwa/ksiazki/brak-isbn/wybrane-zagadnienia-uzytk-i-bezp-w-inst-fotowoltaicznych.pdf) oraz standard VDE-AR-E 2100-712:2018-12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Anwendungsregel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Maßnahmen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für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den DC -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Bereich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einer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Photovoltaikanlage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zum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Einhalten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der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elektrischen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Sicherheit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F350B5">
              <w:rPr>
                <w:rFonts w:ascii="Times New Roman" w:hAnsi="Times New Roman" w:cs="Times New Roman"/>
                <w:lang w:val="pl-PL"/>
              </w:rPr>
              <w:lastRenderedPageBreak/>
              <w:t xml:space="preserve">im Falle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einer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Brandbekämpfung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oder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einer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technischen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F350B5">
              <w:rPr>
                <w:rFonts w:ascii="Times New Roman" w:hAnsi="Times New Roman" w:cs="Times New Roman"/>
                <w:lang w:val="pl-PL"/>
              </w:rPr>
              <w:t>Hilfeleistung</w:t>
            </w:r>
            <w:proofErr w:type="spellEnd"/>
            <w:r w:rsidRPr="00F350B5">
              <w:rPr>
                <w:rFonts w:ascii="Times New Roman" w:hAnsi="Times New Roman" w:cs="Times New Roman"/>
                <w:lang w:val="pl-PL"/>
              </w:rPr>
              <w:t xml:space="preserve"> (zob. https://publikationen.dguv.de/widgets/pdf/download/article/865). </w:t>
            </w:r>
          </w:p>
          <w:p w14:paraId="1C1D5A06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D1357DF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Propozycja KG PSP dotycząca zmiany art. 29 w ust. 4 w pkt 3 lit. c ustawy - Prawo budowlane, w zakresie sposobu zawiadamiania o zakończeniu instalowania urządzeń fotowoltaicznych i rozpoczęciu ich użytkowania, została uwzględniona w procedowanym równolegle projekcie ustawy o zmianie ustawy - Prawo budowlane oraz niektórych innych ustaw (UD427) na etapie opiniowania, vide lp. 33 tabeli: Opiniowanie – zestawienie uwag, https://legislacja.rcl.gov.pl/projekt/12364751/katalog/12916007#12916007.</w:t>
            </w:r>
          </w:p>
          <w:p w14:paraId="5A1EC89F" w14:textId="77777777" w:rsidR="00F350B5" w:rsidRP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633B806A" w14:textId="1995335A" w:rsidR="00F350B5" w:rsidRDefault="00F350B5" w:rsidP="00F350B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Zaproponowane obecnie brzmienie wskazanego przepisu, jako uwaga do projektu UC99, jest bardziej kompleksowe i wyczerpujące</w:t>
            </w:r>
            <w:r>
              <w:rPr>
                <w:rFonts w:ascii="Times New Roman" w:hAnsi="Times New Roman" w:cs="Times New Roman"/>
                <w:lang w:val="pl-PL"/>
              </w:rPr>
              <w:t>, tj.:</w:t>
            </w:r>
          </w:p>
          <w:p w14:paraId="2691E32C" w14:textId="0BDFC0B1" w:rsidR="006C149D" w:rsidRPr="00783ECD" w:rsidRDefault="00F350B5" w:rsidP="005C6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t>„c) pomp ciepła, wolno stojących kolektorów słonecznych, urządzeń fotowoltaicznych o mocy zainstalowanej elektrycznej nie większej niż 150 kW z zastrzeżeniem, że do urządzeń fotowoltaicznych o mocy zainstalowanej elektrycznej większej niż 6,5 kW stosuje się obowiązek sporządzenia projektu tych urządzeń przez osobę posiadającą uprawnienia budowlane, o których mowa w art. 15a ust. 22, i jego uzgodnienia z rzeczoznawcą do spraw zabezpieczeń przeciwpożarowych pod względem zgodności z wymaganiami ochrony przeciwpożarowej, zwanego dalej "uzgodnieniem pod względem ochrony przeciwpożarowej", a także zawiadomienia organów Państwowej Straży Pożarnej o zakończeniu instalowania tych urządzeń i rozpoczęcia ich użytkowania, przy którym przekazuje się tym organom plan urządzenia fotowoltaicznego dla ekip ratowniczych,”.</w:t>
            </w:r>
          </w:p>
        </w:tc>
        <w:tc>
          <w:tcPr>
            <w:tcW w:w="3653" w:type="dxa"/>
            <w:shd w:val="clear" w:color="auto" w:fill="auto"/>
            <w:vAlign w:val="center"/>
          </w:tcPr>
          <w:p w14:paraId="119F24FB" w14:textId="68E4A534" w:rsidR="000D2152" w:rsidRPr="005339BD" w:rsidRDefault="00F350B5" w:rsidP="005C6D93">
            <w:pPr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F350B5">
              <w:rPr>
                <w:rFonts w:ascii="Times New Roman" w:hAnsi="Times New Roman" w:cs="Times New Roman"/>
                <w:lang w:val="pl-PL"/>
              </w:rPr>
              <w:lastRenderedPageBreak/>
              <w:t>Uwaga wykracza poza zakres przedmiotowy rozpatrywania przez KRMC, podlega dalszej analizie, zaś ostateczne stanowisko zostanie przedstawione na SKRM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45C4CAED" w14:textId="3BAEE3ED" w:rsidR="000D2152" w:rsidRPr="005339BD" w:rsidRDefault="000D2152" w:rsidP="005C6D9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</w:tbl>
    <w:p w14:paraId="0EA50F23" w14:textId="77777777" w:rsidR="00A04515" w:rsidRPr="005339BD" w:rsidRDefault="00A04515" w:rsidP="005C6D9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A04515" w:rsidRPr="005339BD" w:rsidSect="00A0451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1EB2A" w14:textId="77777777" w:rsidR="008B5D83" w:rsidRDefault="008B5D83" w:rsidP="00B14F9B">
      <w:pPr>
        <w:spacing w:after="0" w:line="240" w:lineRule="auto"/>
      </w:pPr>
      <w:r>
        <w:separator/>
      </w:r>
    </w:p>
  </w:endnote>
  <w:endnote w:type="continuationSeparator" w:id="0">
    <w:p w14:paraId="753F551A" w14:textId="77777777" w:rsidR="008B5D83" w:rsidRDefault="008B5D83" w:rsidP="00B1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074965"/>
      <w:docPartObj>
        <w:docPartGallery w:val="Page Numbers (Bottom of Page)"/>
        <w:docPartUnique/>
      </w:docPartObj>
    </w:sdtPr>
    <w:sdtContent>
      <w:p w14:paraId="269FC842" w14:textId="488758EA" w:rsidR="006A3579" w:rsidRDefault="006A35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74D797" w14:textId="77777777" w:rsidR="006A3579" w:rsidRDefault="006A35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C954D" w14:textId="77777777" w:rsidR="008B5D83" w:rsidRDefault="008B5D83" w:rsidP="00B14F9B">
      <w:pPr>
        <w:spacing w:after="0" w:line="240" w:lineRule="auto"/>
      </w:pPr>
      <w:r>
        <w:separator/>
      </w:r>
    </w:p>
  </w:footnote>
  <w:footnote w:type="continuationSeparator" w:id="0">
    <w:p w14:paraId="63964C73" w14:textId="77777777" w:rsidR="008B5D83" w:rsidRDefault="008B5D83" w:rsidP="00B14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47FD"/>
    <w:multiLevelType w:val="hybridMultilevel"/>
    <w:tmpl w:val="B3901F36"/>
    <w:lvl w:ilvl="0" w:tplc="C0D2E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F076A2" w:tentative="1">
      <w:start w:val="1"/>
      <w:numFmt w:val="lowerLetter"/>
      <w:lvlText w:val="%2."/>
      <w:lvlJc w:val="left"/>
      <w:pPr>
        <w:ind w:left="1440" w:hanging="360"/>
      </w:pPr>
    </w:lvl>
    <w:lvl w:ilvl="2" w:tplc="85E639BA" w:tentative="1">
      <w:start w:val="1"/>
      <w:numFmt w:val="lowerRoman"/>
      <w:lvlText w:val="%3."/>
      <w:lvlJc w:val="right"/>
      <w:pPr>
        <w:ind w:left="2160" w:hanging="180"/>
      </w:pPr>
    </w:lvl>
    <w:lvl w:ilvl="3" w:tplc="F01609FA" w:tentative="1">
      <w:start w:val="1"/>
      <w:numFmt w:val="decimal"/>
      <w:lvlText w:val="%4."/>
      <w:lvlJc w:val="left"/>
      <w:pPr>
        <w:ind w:left="2880" w:hanging="360"/>
      </w:pPr>
    </w:lvl>
    <w:lvl w:ilvl="4" w:tplc="1F845388" w:tentative="1">
      <w:start w:val="1"/>
      <w:numFmt w:val="lowerLetter"/>
      <w:lvlText w:val="%5."/>
      <w:lvlJc w:val="left"/>
      <w:pPr>
        <w:ind w:left="3600" w:hanging="360"/>
      </w:pPr>
    </w:lvl>
    <w:lvl w:ilvl="5" w:tplc="FAFE83A4" w:tentative="1">
      <w:start w:val="1"/>
      <w:numFmt w:val="lowerRoman"/>
      <w:lvlText w:val="%6."/>
      <w:lvlJc w:val="right"/>
      <w:pPr>
        <w:ind w:left="4320" w:hanging="180"/>
      </w:pPr>
    </w:lvl>
    <w:lvl w:ilvl="6" w:tplc="9D986284" w:tentative="1">
      <w:start w:val="1"/>
      <w:numFmt w:val="decimal"/>
      <w:lvlText w:val="%7."/>
      <w:lvlJc w:val="left"/>
      <w:pPr>
        <w:ind w:left="5040" w:hanging="360"/>
      </w:pPr>
    </w:lvl>
    <w:lvl w:ilvl="7" w:tplc="E1307A9A" w:tentative="1">
      <w:start w:val="1"/>
      <w:numFmt w:val="lowerLetter"/>
      <w:lvlText w:val="%8."/>
      <w:lvlJc w:val="left"/>
      <w:pPr>
        <w:ind w:left="5760" w:hanging="360"/>
      </w:pPr>
    </w:lvl>
    <w:lvl w:ilvl="8" w:tplc="0646E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D70C4"/>
    <w:multiLevelType w:val="hybridMultilevel"/>
    <w:tmpl w:val="1B7EF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069C2"/>
    <w:multiLevelType w:val="hybridMultilevel"/>
    <w:tmpl w:val="00669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291316">
    <w:abstractNumId w:val="0"/>
  </w:num>
  <w:num w:numId="2" w16cid:durableId="522477524">
    <w:abstractNumId w:val="1"/>
  </w:num>
  <w:num w:numId="3" w16cid:durableId="271474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15"/>
    <w:rsid w:val="00036B42"/>
    <w:rsid w:val="00037952"/>
    <w:rsid w:val="00044176"/>
    <w:rsid w:val="00080A5B"/>
    <w:rsid w:val="000A55C1"/>
    <w:rsid w:val="000B0FD3"/>
    <w:rsid w:val="000C4E66"/>
    <w:rsid w:val="000D2152"/>
    <w:rsid w:val="000D305D"/>
    <w:rsid w:val="000E0659"/>
    <w:rsid w:val="000F5CD2"/>
    <w:rsid w:val="00100AB6"/>
    <w:rsid w:val="00104B46"/>
    <w:rsid w:val="00144B5A"/>
    <w:rsid w:val="00156C64"/>
    <w:rsid w:val="0019605F"/>
    <w:rsid w:val="001B518C"/>
    <w:rsid w:val="00216D27"/>
    <w:rsid w:val="0022430E"/>
    <w:rsid w:val="002C09AE"/>
    <w:rsid w:val="002C2905"/>
    <w:rsid w:val="002C31CB"/>
    <w:rsid w:val="002D0DCE"/>
    <w:rsid w:val="002D3954"/>
    <w:rsid w:val="0032107E"/>
    <w:rsid w:val="003467CD"/>
    <w:rsid w:val="0035765A"/>
    <w:rsid w:val="003705E8"/>
    <w:rsid w:val="0038660A"/>
    <w:rsid w:val="00386A88"/>
    <w:rsid w:val="003B793E"/>
    <w:rsid w:val="003E212C"/>
    <w:rsid w:val="00420C5B"/>
    <w:rsid w:val="00423249"/>
    <w:rsid w:val="00424230"/>
    <w:rsid w:val="00430A59"/>
    <w:rsid w:val="0046072E"/>
    <w:rsid w:val="00460F80"/>
    <w:rsid w:val="0046500F"/>
    <w:rsid w:val="004858DA"/>
    <w:rsid w:val="00485C06"/>
    <w:rsid w:val="004A15E6"/>
    <w:rsid w:val="004A1B2A"/>
    <w:rsid w:val="004C1A79"/>
    <w:rsid w:val="004F19FB"/>
    <w:rsid w:val="00523361"/>
    <w:rsid w:val="00530C4E"/>
    <w:rsid w:val="005339BD"/>
    <w:rsid w:val="005C17EA"/>
    <w:rsid w:val="005C4947"/>
    <w:rsid w:val="005C6D93"/>
    <w:rsid w:val="005C748A"/>
    <w:rsid w:val="005D2A2A"/>
    <w:rsid w:val="005E06FD"/>
    <w:rsid w:val="005E7032"/>
    <w:rsid w:val="00654A0D"/>
    <w:rsid w:val="00676EFF"/>
    <w:rsid w:val="00691291"/>
    <w:rsid w:val="006A3579"/>
    <w:rsid w:val="006C149D"/>
    <w:rsid w:val="006C2671"/>
    <w:rsid w:val="006D7412"/>
    <w:rsid w:val="006F3B59"/>
    <w:rsid w:val="00751065"/>
    <w:rsid w:val="00772A3C"/>
    <w:rsid w:val="00783ECD"/>
    <w:rsid w:val="00785311"/>
    <w:rsid w:val="00785568"/>
    <w:rsid w:val="007A090D"/>
    <w:rsid w:val="007B08F9"/>
    <w:rsid w:val="007D2022"/>
    <w:rsid w:val="007E3A73"/>
    <w:rsid w:val="0082420A"/>
    <w:rsid w:val="0083747B"/>
    <w:rsid w:val="00882A92"/>
    <w:rsid w:val="008B5D83"/>
    <w:rsid w:val="008D19FF"/>
    <w:rsid w:val="0092095F"/>
    <w:rsid w:val="00927CA5"/>
    <w:rsid w:val="00952F43"/>
    <w:rsid w:val="00962BBB"/>
    <w:rsid w:val="009702FA"/>
    <w:rsid w:val="009B2D0C"/>
    <w:rsid w:val="009C0893"/>
    <w:rsid w:val="009C1689"/>
    <w:rsid w:val="009D190B"/>
    <w:rsid w:val="009E302F"/>
    <w:rsid w:val="009F7133"/>
    <w:rsid w:val="00A04515"/>
    <w:rsid w:val="00A212BB"/>
    <w:rsid w:val="00A256F3"/>
    <w:rsid w:val="00A45B20"/>
    <w:rsid w:val="00AB798C"/>
    <w:rsid w:val="00AC38F2"/>
    <w:rsid w:val="00AD10B6"/>
    <w:rsid w:val="00AD2A7A"/>
    <w:rsid w:val="00B110F2"/>
    <w:rsid w:val="00B14F9B"/>
    <w:rsid w:val="00B40457"/>
    <w:rsid w:val="00B83332"/>
    <w:rsid w:val="00B97759"/>
    <w:rsid w:val="00C17AAD"/>
    <w:rsid w:val="00C62573"/>
    <w:rsid w:val="00C641EC"/>
    <w:rsid w:val="00CA55EC"/>
    <w:rsid w:val="00CE23B0"/>
    <w:rsid w:val="00D21B3E"/>
    <w:rsid w:val="00D26440"/>
    <w:rsid w:val="00D27CF1"/>
    <w:rsid w:val="00D51322"/>
    <w:rsid w:val="00DF5AB8"/>
    <w:rsid w:val="00E20409"/>
    <w:rsid w:val="00E4418A"/>
    <w:rsid w:val="00E6427C"/>
    <w:rsid w:val="00E71D43"/>
    <w:rsid w:val="00E949D6"/>
    <w:rsid w:val="00EB3BA8"/>
    <w:rsid w:val="00EE2773"/>
    <w:rsid w:val="00F11283"/>
    <w:rsid w:val="00F350B5"/>
    <w:rsid w:val="00F802E9"/>
    <w:rsid w:val="00F82559"/>
    <w:rsid w:val="00FC5BAF"/>
    <w:rsid w:val="00FD4BCC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58BC"/>
  <w15:chartTrackingRefBased/>
  <w15:docId w15:val="{52CCC017-42B0-476F-A483-9D1673FF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A7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3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51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F3F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F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3F51"/>
    <w:pPr>
      <w:spacing w:after="0" w:line="240" w:lineRule="auto"/>
      <w:jc w:val="both"/>
    </w:pPr>
    <w:rPr>
      <w:rFonts w:ascii="Arial" w:eastAsia="Times New Roman" w:hAnsi="Arial" w:cs="Arial"/>
      <w:color w:val="191919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3F51"/>
    <w:rPr>
      <w:rFonts w:ascii="Arial" w:eastAsia="Times New Roman" w:hAnsi="Arial" w:cs="Arial"/>
      <w:color w:val="191919"/>
      <w:sz w:val="20"/>
      <w:szCs w:val="20"/>
      <w:lang w:eastAsia="pl-PL"/>
    </w:rPr>
  </w:style>
  <w:style w:type="paragraph" w:styleId="Bezodstpw">
    <w:name w:val="No Spacing"/>
    <w:uiPriority w:val="1"/>
    <w:qFormat/>
    <w:rsid w:val="00FF3F5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F9B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F9B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F9B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46500F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46500F"/>
    <w:pPr>
      <w:widowControl w:val="0"/>
      <w:suppressAutoHyphens/>
      <w:spacing w:after="120" w:line="240" w:lineRule="auto"/>
    </w:pPr>
    <w:rPr>
      <w:rFonts w:eastAsia="Lato" w:cs="Lato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6500F"/>
  </w:style>
  <w:style w:type="paragraph" w:customStyle="1" w:styleId="ARTartustawynprozporzdzenia">
    <w:name w:val="ART(§) – art. ustawy (§ np. rozporządzenia)"/>
    <w:uiPriority w:val="11"/>
    <w:qFormat/>
    <w:rsid w:val="002D0D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D0DCE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</w:rPr>
  </w:style>
  <w:style w:type="paragraph" w:customStyle="1" w:styleId="ODNONIKtreodnonika">
    <w:name w:val="ODNOŚNIK – treść odnośnika"/>
    <w:uiPriority w:val="99"/>
    <w:qFormat/>
    <w:rsid w:val="002D0DC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99"/>
    <w:qFormat/>
    <w:rsid w:val="002D0DCE"/>
    <w:rPr>
      <w:b w:val="0"/>
      <w:i w:val="0"/>
      <w:vanish w:val="0"/>
      <w:spacing w:val="0"/>
      <w:vertAlign w:val="superscript"/>
    </w:rPr>
  </w:style>
  <w:style w:type="character" w:styleId="Pogrubienie">
    <w:name w:val="Strong"/>
    <w:basedOn w:val="Domylnaczcionkaakapitu"/>
    <w:uiPriority w:val="99"/>
    <w:qFormat/>
    <w:rsid w:val="002D0DC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176"/>
    <w:pPr>
      <w:spacing w:after="16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176"/>
    <w:rPr>
      <w:rFonts w:ascii="Arial" w:eastAsia="Times New Roman" w:hAnsi="Arial" w:cs="Arial"/>
      <w:b/>
      <w:bCs/>
      <w:color w:val="191919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39BD"/>
    <w:pPr>
      <w:ind w:left="720"/>
      <w:contextualSpacing/>
    </w:pPr>
  </w:style>
  <w:style w:type="paragraph" w:styleId="Poprawka">
    <w:name w:val="Revision"/>
    <w:hidden/>
    <w:uiPriority w:val="99"/>
    <w:semiHidden/>
    <w:rsid w:val="00F8255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A3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579"/>
  </w:style>
  <w:style w:type="paragraph" w:styleId="Stopka">
    <w:name w:val="footer"/>
    <w:basedOn w:val="Normalny"/>
    <w:link w:val="StopkaZnak"/>
    <w:uiPriority w:val="99"/>
    <w:unhideWhenUsed/>
    <w:rsid w:val="006A3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89A2-43C9-4B4E-9D23-322A9155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2828</Words>
  <Characters>16970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Siwek</dc:creator>
  <cp:keywords/>
  <dc:description/>
  <cp:lastModifiedBy>MOŁDAWSKA Agnieszka</cp:lastModifiedBy>
  <cp:revision>8</cp:revision>
  <dcterms:created xsi:type="dcterms:W3CDTF">2023-01-12T11:58:00Z</dcterms:created>
  <dcterms:modified xsi:type="dcterms:W3CDTF">2023-01-16T13:17:00Z</dcterms:modified>
</cp:coreProperties>
</file>